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80C70" w14:textId="77777777" w:rsidR="002B4FF0" w:rsidRDefault="002B4FF0" w:rsidP="002B4FF0">
      <w:pPr>
        <w:spacing w:after="0" w:line="240" w:lineRule="auto"/>
        <w:ind w:right="-360"/>
        <w:rPr>
          <w:rFonts w:ascii="Calibri" w:eastAsia="Times New Roman" w:hAnsi="Calibri" w:cs="Times New Roman"/>
          <w:sz w:val="24"/>
          <w:szCs w:val="24"/>
        </w:rPr>
      </w:pPr>
    </w:p>
    <w:p w14:paraId="1CEF350E" w14:textId="77777777" w:rsidR="002B4FF0" w:rsidRDefault="002B4FF0" w:rsidP="002B4FF0">
      <w:pPr>
        <w:spacing w:after="0" w:line="240" w:lineRule="auto"/>
        <w:ind w:right="-360"/>
        <w:rPr>
          <w:rFonts w:ascii="Calibri" w:eastAsia="Times New Roman" w:hAnsi="Calibri" w:cs="Times New Roman"/>
          <w:sz w:val="24"/>
          <w:szCs w:val="24"/>
        </w:rPr>
      </w:pPr>
    </w:p>
    <w:p w14:paraId="473CF357" w14:textId="77777777" w:rsidR="002B4FF0" w:rsidRDefault="002B4FF0" w:rsidP="00831315">
      <w:pPr>
        <w:spacing w:after="0" w:line="360" w:lineRule="auto"/>
        <w:ind w:right="-360"/>
        <w:rPr>
          <w:rFonts w:ascii="Calibri" w:eastAsia="Times New Roman" w:hAnsi="Calibri" w:cs="Times New Roman"/>
          <w:sz w:val="24"/>
          <w:szCs w:val="24"/>
        </w:rPr>
      </w:pPr>
      <w:r>
        <w:rPr>
          <w:rFonts w:ascii="Calibri" w:eastAsia="Times New Roman" w:hAnsi="Calibri" w:cs="Times New Roman"/>
          <w:sz w:val="24"/>
          <w:szCs w:val="24"/>
        </w:rPr>
        <w:t>To:</w:t>
      </w:r>
      <w:r>
        <w:rPr>
          <w:rFonts w:ascii="Calibri" w:eastAsia="Times New Roman" w:hAnsi="Calibri" w:cs="Times New Roman"/>
          <w:sz w:val="24"/>
          <w:szCs w:val="24"/>
        </w:rPr>
        <w:tab/>
        <w:t>State Department of Energy &amp; Environmental Protection</w:t>
      </w:r>
    </w:p>
    <w:p w14:paraId="7060BC58" w14:textId="72838ECA" w:rsidR="002B4FF0" w:rsidRDefault="002B4FF0" w:rsidP="00831315">
      <w:pPr>
        <w:spacing w:after="0" w:line="360" w:lineRule="auto"/>
        <w:ind w:right="-360"/>
        <w:rPr>
          <w:rFonts w:ascii="Calibri" w:eastAsia="Times New Roman" w:hAnsi="Calibri" w:cs="Times New Roman"/>
          <w:sz w:val="24"/>
          <w:szCs w:val="24"/>
        </w:rPr>
      </w:pPr>
      <w:r>
        <w:rPr>
          <w:rFonts w:ascii="Calibri" w:eastAsia="Times New Roman" w:hAnsi="Calibri" w:cs="Times New Roman"/>
          <w:sz w:val="24"/>
          <w:szCs w:val="24"/>
        </w:rPr>
        <w:t>From:</w:t>
      </w:r>
      <w:r>
        <w:rPr>
          <w:rFonts w:ascii="Calibri" w:eastAsia="Times New Roman" w:hAnsi="Calibri" w:cs="Times New Roman"/>
          <w:sz w:val="24"/>
          <w:szCs w:val="24"/>
        </w:rPr>
        <w:tab/>
        <w:t>Betsy Gara, Executive Director, CWWA</w:t>
      </w:r>
    </w:p>
    <w:p w14:paraId="3C09D0DF" w14:textId="44651EA1" w:rsidR="002B4FF0" w:rsidRDefault="002B4FF0" w:rsidP="00831315">
      <w:pPr>
        <w:spacing w:after="0" w:line="360" w:lineRule="auto"/>
        <w:ind w:right="-360"/>
        <w:rPr>
          <w:rFonts w:ascii="Calibri" w:eastAsia="Times New Roman" w:hAnsi="Calibri" w:cs="Times New Roman"/>
          <w:sz w:val="24"/>
          <w:szCs w:val="24"/>
        </w:rPr>
      </w:pPr>
      <w:r>
        <w:rPr>
          <w:rFonts w:ascii="Calibri" w:eastAsia="Times New Roman" w:hAnsi="Calibri" w:cs="Times New Roman"/>
          <w:sz w:val="24"/>
          <w:szCs w:val="24"/>
        </w:rPr>
        <w:t>Date:</w:t>
      </w:r>
      <w:r>
        <w:rPr>
          <w:rFonts w:ascii="Calibri" w:eastAsia="Times New Roman" w:hAnsi="Calibri" w:cs="Times New Roman"/>
          <w:sz w:val="24"/>
          <w:szCs w:val="24"/>
        </w:rPr>
        <w:tab/>
        <w:t>June 25, 2021</w:t>
      </w:r>
    </w:p>
    <w:p w14:paraId="5555D378" w14:textId="6DDC83C6" w:rsidR="002B4FF0" w:rsidRDefault="002B4FF0" w:rsidP="00831315">
      <w:pPr>
        <w:spacing w:after="0" w:line="240" w:lineRule="auto"/>
        <w:ind w:left="720" w:right="-360" w:hanging="720"/>
        <w:rPr>
          <w:rFonts w:ascii="Calibri" w:eastAsia="Times New Roman" w:hAnsi="Calibri" w:cs="Times New Roman"/>
          <w:sz w:val="24"/>
          <w:szCs w:val="24"/>
        </w:rPr>
      </w:pPr>
      <w:r>
        <w:rPr>
          <w:rFonts w:ascii="Calibri" w:eastAsia="Times New Roman" w:hAnsi="Calibri" w:cs="Times New Roman"/>
          <w:sz w:val="24"/>
          <w:szCs w:val="24"/>
        </w:rPr>
        <w:t>Re:</w:t>
      </w:r>
      <w:r>
        <w:rPr>
          <w:rFonts w:ascii="Calibri" w:eastAsia="Times New Roman" w:hAnsi="Calibri" w:cs="Times New Roman"/>
          <w:sz w:val="24"/>
          <w:szCs w:val="24"/>
        </w:rPr>
        <w:tab/>
      </w:r>
      <w:r w:rsidRPr="00831315">
        <w:rPr>
          <w:rFonts w:ascii="Calibri" w:eastAsia="Times New Roman" w:hAnsi="Calibri" w:cs="Times New Roman"/>
          <w:b/>
          <w:bCs/>
          <w:sz w:val="24"/>
          <w:szCs w:val="24"/>
        </w:rPr>
        <w:t>Comments - DEEP’s Sustainable, Transparent &amp; Efficient Practices for Solar Development</w:t>
      </w:r>
    </w:p>
    <w:p w14:paraId="1B822D44" w14:textId="77777777" w:rsidR="002B4FF0" w:rsidRDefault="002B4FF0" w:rsidP="002B4FF0">
      <w:pPr>
        <w:spacing w:after="0" w:line="240" w:lineRule="auto"/>
        <w:ind w:right="-360"/>
        <w:rPr>
          <w:rFonts w:ascii="Calibri" w:eastAsia="Times New Roman" w:hAnsi="Calibri" w:cs="Times New Roman"/>
          <w:sz w:val="24"/>
          <w:szCs w:val="24"/>
        </w:rPr>
      </w:pPr>
    </w:p>
    <w:p w14:paraId="56E6DE6E" w14:textId="13143F17" w:rsidR="002B4FF0" w:rsidRPr="002B4FF0" w:rsidRDefault="002B4FF0" w:rsidP="002B4FF0">
      <w:pPr>
        <w:spacing w:after="0" w:line="240" w:lineRule="auto"/>
        <w:ind w:right="-360"/>
        <w:rPr>
          <w:rFonts w:ascii="Calibri" w:eastAsia="Times New Roman" w:hAnsi="Calibri" w:cs="Times New Roman"/>
          <w:sz w:val="24"/>
          <w:szCs w:val="24"/>
        </w:rPr>
      </w:pPr>
      <w:r w:rsidRPr="002B4FF0">
        <w:rPr>
          <w:rFonts w:ascii="Calibri" w:eastAsia="Times New Roman" w:hAnsi="Calibri" w:cs="Times New Roman"/>
          <w:sz w:val="24"/>
          <w:szCs w:val="24"/>
        </w:rPr>
        <w:t xml:space="preserve">The Connecticut Water Works Association (CWWA), a trade association of municipal, regional and private water utilities, appreciates the opportunity to comment on the above-referenced </w:t>
      </w:r>
      <w:r>
        <w:rPr>
          <w:rFonts w:ascii="Calibri" w:eastAsia="Times New Roman" w:hAnsi="Calibri" w:cs="Times New Roman"/>
          <w:sz w:val="24"/>
          <w:szCs w:val="24"/>
        </w:rPr>
        <w:t>program</w:t>
      </w:r>
      <w:r w:rsidRPr="002B4FF0">
        <w:rPr>
          <w:rFonts w:ascii="Calibri" w:eastAsia="Times New Roman" w:hAnsi="Calibri" w:cs="Times New Roman"/>
          <w:sz w:val="24"/>
          <w:szCs w:val="24"/>
        </w:rPr>
        <w:t xml:space="preserve">. </w:t>
      </w:r>
    </w:p>
    <w:p w14:paraId="71EFF8CD" w14:textId="77777777" w:rsidR="002B4FF0" w:rsidRPr="002B4FF0" w:rsidRDefault="002B4FF0" w:rsidP="002B4FF0">
      <w:pPr>
        <w:spacing w:after="0" w:line="240" w:lineRule="auto"/>
        <w:ind w:right="-360"/>
        <w:rPr>
          <w:rFonts w:ascii="Calibri" w:eastAsia="Times New Roman" w:hAnsi="Calibri" w:cs="Times New Roman"/>
          <w:sz w:val="24"/>
          <w:szCs w:val="24"/>
        </w:rPr>
      </w:pPr>
    </w:p>
    <w:p w14:paraId="1D5C93EE" w14:textId="40E3CBFE" w:rsidR="00831315" w:rsidRPr="002B4FF0" w:rsidRDefault="00831315" w:rsidP="00831315">
      <w:pPr>
        <w:spacing w:after="0" w:line="240" w:lineRule="auto"/>
        <w:ind w:right="-360"/>
        <w:rPr>
          <w:rFonts w:ascii="Calibri" w:eastAsia="Times New Roman" w:hAnsi="Calibri" w:cs="Times New Roman"/>
          <w:sz w:val="24"/>
          <w:szCs w:val="24"/>
        </w:rPr>
      </w:pPr>
      <w:r w:rsidRPr="002B4FF0">
        <w:rPr>
          <w:rFonts w:ascii="Calibri" w:eastAsia="Times New Roman" w:hAnsi="Calibri" w:cs="Times New Roman"/>
          <w:sz w:val="24"/>
          <w:szCs w:val="24"/>
        </w:rPr>
        <w:t xml:space="preserve">CWWA supports efforts to </w:t>
      </w:r>
      <w:r>
        <w:rPr>
          <w:rFonts w:ascii="Calibri" w:eastAsia="Times New Roman" w:hAnsi="Calibri" w:cs="Times New Roman"/>
          <w:sz w:val="24"/>
          <w:szCs w:val="24"/>
        </w:rPr>
        <w:t xml:space="preserve">promote the </w:t>
      </w:r>
      <w:r w:rsidRPr="002B4FF0">
        <w:rPr>
          <w:rFonts w:ascii="Calibri" w:eastAsia="Times New Roman" w:hAnsi="Calibri" w:cs="Times New Roman"/>
          <w:sz w:val="24"/>
          <w:szCs w:val="24"/>
        </w:rPr>
        <w:t>use of renewable energy to improve energy efficiency and reduce carbon emissions</w:t>
      </w:r>
      <w:r>
        <w:rPr>
          <w:rFonts w:ascii="Calibri" w:eastAsia="Times New Roman" w:hAnsi="Calibri" w:cs="Times New Roman"/>
          <w:sz w:val="24"/>
          <w:szCs w:val="24"/>
        </w:rPr>
        <w:t>, including solar developments</w:t>
      </w:r>
      <w:r w:rsidRPr="002B4FF0">
        <w:rPr>
          <w:rFonts w:ascii="Calibri" w:eastAsia="Times New Roman" w:hAnsi="Calibri" w:cs="Times New Roman"/>
          <w:sz w:val="24"/>
          <w:szCs w:val="24"/>
        </w:rPr>
        <w:t xml:space="preserve">. Treating and distributing public water supplies is very energy intensive and many water utilities have turned to renewable energy in an effort to control costs, promote water conservation, and maintain affordable customer rates. This includes utilizing solar installations, wind power applications, energy efficient lighting, and participating in power purchase agreements, the state’s Renewable Energy Credit (ZREC) program and other energy efficient programs.   </w:t>
      </w:r>
    </w:p>
    <w:p w14:paraId="03A3DD84" w14:textId="4E563BEC" w:rsidR="00831315" w:rsidRPr="002B4FF0" w:rsidRDefault="00831315" w:rsidP="00831315">
      <w:pPr>
        <w:spacing w:before="100" w:beforeAutospacing="1" w:after="100" w:afterAutospacing="1" w:line="240" w:lineRule="auto"/>
        <w:rPr>
          <w:rFonts w:ascii="Calibri" w:eastAsia="Times New Roman" w:hAnsi="Calibri" w:cs="Times New Roman"/>
          <w:sz w:val="24"/>
          <w:szCs w:val="24"/>
        </w:rPr>
      </w:pPr>
      <w:r w:rsidRPr="002B4FF0">
        <w:rPr>
          <w:rFonts w:ascii="Calibri" w:eastAsia="Times New Roman" w:hAnsi="Calibri" w:cs="Times New Roman"/>
          <w:sz w:val="24"/>
          <w:szCs w:val="24"/>
        </w:rPr>
        <w:t>However, renewable energy projects, including solar</w:t>
      </w:r>
      <w:r>
        <w:rPr>
          <w:rFonts w:ascii="Calibri" w:eastAsia="Times New Roman" w:hAnsi="Calibri" w:cs="Times New Roman"/>
          <w:sz w:val="24"/>
          <w:szCs w:val="24"/>
        </w:rPr>
        <w:t xml:space="preserve"> developments</w:t>
      </w:r>
      <w:r w:rsidRPr="002B4FF0">
        <w:rPr>
          <w:rFonts w:ascii="Calibri" w:eastAsia="Times New Roman" w:hAnsi="Calibri" w:cs="Times New Roman"/>
          <w:sz w:val="24"/>
          <w:szCs w:val="24"/>
        </w:rPr>
        <w:t xml:space="preserve">, proposed for construction in public water supply watersheds should be fully evaluated to assess whether the projects may compromise the integrity and quality of Connecticut’s public water supplies and, if so, whether such projects should be permitted or if best management practices should be required as a condition of approval to protect the quality of the water source. </w:t>
      </w:r>
    </w:p>
    <w:p w14:paraId="2EA5863C" w14:textId="02D18E0B" w:rsidR="002B4FF0" w:rsidRPr="002B4FF0" w:rsidRDefault="002B4FF0" w:rsidP="002B4FF0">
      <w:pPr>
        <w:spacing w:after="0" w:line="240" w:lineRule="auto"/>
        <w:ind w:right="-360"/>
        <w:rPr>
          <w:rFonts w:ascii="Calibri" w:eastAsia="Times New Roman" w:hAnsi="Calibri" w:cs="Times New Roman"/>
          <w:sz w:val="24"/>
          <w:szCs w:val="24"/>
        </w:rPr>
      </w:pPr>
      <w:r w:rsidRPr="002B4FF0">
        <w:rPr>
          <w:rFonts w:ascii="Calibri" w:eastAsia="Times New Roman" w:hAnsi="Calibri" w:cs="Times New Roman"/>
          <w:sz w:val="24"/>
          <w:szCs w:val="24"/>
        </w:rPr>
        <w:t>Source water protection is critical to protecting the quality and availability of public water supplies to meet the state’s public health, safety and economic development needs. Forestland is a vital component of source water protection efforts because trees help filter rain and snow, regulate stream flows, and reduce stormwater runoff.</w:t>
      </w:r>
      <w:r>
        <w:rPr>
          <w:rFonts w:ascii="Calibri" w:eastAsia="Times New Roman" w:hAnsi="Calibri" w:cs="Times New Roman"/>
          <w:sz w:val="24"/>
          <w:szCs w:val="24"/>
        </w:rPr>
        <w:t xml:space="preserve"> </w:t>
      </w:r>
      <w:r w:rsidRPr="002B4FF0">
        <w:rPr>
          <w:rFonts w:ascii="Calibri" w:eastAsia="Times New Roman" w:hAnsi="Calibri" w:cs="Times New Roman"/>
          <w:sz w:val="24"/>
          <w:szCs w:val="24"/>
        </w:rPr>
        <w:t xml:space="preserve">Recognizing the importance of source water protection, any development, including minor activities, on water company-owned public water supply watershed lands must obtain approval for a Water Company Lands Permit from the state Department of Public Health to ensure that activities do not compromise water quality and/or quantity in any way. </w:t>
      </w:r>
    </w:p>
    <w:p w14:paraId="1F1B8916" w14:textId="3220AD84" w:rsidR="002B4FF0" w:rsidRPr="002B4FF0" w:rsidRDefault="002B4FF0" w:rsidP="002B4FF0">
      <w:pPr>
        <w:spacing w:before="100" w:beforeAutospacing="1" w:after="100" w:afterAutospacing="1" w:line="240" w:lineRule="auto"/>
        <w:rPr>
          <w:rFonts w:ascii="Calibri" w:eastAsia="Times New Roman" w:hAnsi="Calibri" w:cs="Times New Roman"/>
          <w:sz w:val="24"/>
          <w:szCs w:val="24"/>
        </w:rPr>
      </w:pPr>
      <w:r w:rsidRPr="002B4FF0">
        <w:rPr>
          <w:rFonts w:ascii="Calibri" w:eastAsia="Times New Roman" w:hAnsi="Calibri" w:cs="Times New Roman"/>
          <w:sz w:val="24"/>
          <w:szCs w:val="24"/>
        </w:rPr>
        <w:t xml:space="preserve">Unfortunately, however, no such approval is required for activities on watershed lands that are not owned by the water company. Water utilities are required to be apprised of proposed of local land use developments on non-water company owned watershed lands, however, to ensure that they can provide input on how the proposed project may </w:t>
      </w:r>
      <w:r w:rsidRPr="002B4FF0">
        <w:rPr>
          <w:rFonts w:ascii="Calibri" w:eastAsia="Times New Roman" w:hAnsi="Calibri" w:cs="Times New Roman"/>
          <w:sz w:val="24"/>
          <w:szCs w:val="24"/>
        </w:rPr>
        <w:lastRenderedPageBreak/>
        <w:t xml:space="preserve">impact water quality and quantity. This has </w:t>
      </w:r>
      <w:r w:rsidR="00831315">
        <w:rPr>
          <w:rFonts w:ascii="Calibri" w:eastAsia="Times New Roman" w:hAnsi="Calibri" w:cs="Times New Roman"/>
          <w:sz w:val="24"/>
          <w:szCs w:val="24"/>
        </w:rPr>
        <w:t xml:space="preserve">helped </w:t>
      </w:r>
      <w:r w:rsidRPr="002B4FF0">
        <w:rPr>
          <w:rFonts w:ascii="Calibri" w:eastAsia="Times New Roman" w:hAnsi="Calibri" w:cs="Times New Roman"/>
          <w:sz w:val="24"/>
          <w:szCs w:val="24"/>
        </w:rPr>
        <w:t xml:space="preserve">ensure that the impact on water quality and quantity and recommended best management practices to protect the water supply are appropriately considered by local land use boards. </w:t>
      </w:r>
    </w:p>
    <w:p w14:paraId="5692DE88" w14:textId="19993863" w:rsidR="00831315" w:rsidRPr="002B4FF0" w:rsidRDefault="00831315" w:rsidP="00831315">
      <w:pPr>
        <w:spacing w:before="100" w:beforeAutospacing="1" w:after="100" w:afterAutospacing="1" w:line="255" w:lineRule="atLeast"/>
        <w:rPr>
          <w:rFonts w:ascii="Calibri" w:eastAsia="Times New Roman" w:hAnsi="Calibri" w:cs="Times New Roman"/>
          <w:color w:val="000000"/>
          <w:sz w:val="24"/>
          <w:szCs w:val="24"/>
        </w:rPr>
      </w:pPr>
      <w:r w:rsidRPr="002B4FF0">
        <w:rPr>
          <w:rFonts w:ascii="Calibri" w:eastAsia="Times New Roman" w:hAnsi="Calibri" w:cs="Times New Roman"/>
          <w:color w:val="000000"/>
          <w:sz w:val="24"/>
          <w:szCs w:val="24"/>
        </w:rPr>
        <w:t xml:space="preserve">Similarly, we believe the Connecticut Siting Council should be required to perform an environmental assessment that fully considers the impact of a proposed solar </w:t>
      </w:r>
      <w:r>
        <w:rPr>
          <w:rFonts w:ascii="Calibri" w:eastAsia="Times New Roman" w:hAnsi="Calibri" w:cs="Times New Roman"/>
          <w:color w:val="000000"/>
          <w:sz w:val="24"/>
          <w:szCs w:val="24"/>
        </w:rPr>
        <w:t>development</w:t>
      </w:r>
      <w:r w:rsidRPr="002B4FF0">
        <w:rPr>
          <w:rFonts w:ascii="Calibri" w:eastAsia="Times New Roman" w:hAnsi="Calibri" w:cs="Times New Roman"/>
          <w:color w:val="000000"/>
          <w:sz w:val="24"/>
          <w:szCs w:val="24"/>
        </w:rPr>
        <w:t xml:space="preserve"> on the public water supply watershed, including the extent to which the project may impair water quality and/or quantity.  This would be consistent with other state laws and regulations aimed at protecting drinking water quality and availability. </w:t>
      </w:r>
    </w:p>
    <w:p w14:paraId="175A909F" w14:textId="373793CA" w:rsidR="002B4FF0" w:rsidRPr="002B4FF0" w:rsidRDefault="002B4FF0" w:rsidP="002B4FF0">
      <w:pPr>
        <w:spacing w:before="100" w:beforeAutospacing="1" w:after="100" w:afterAutospacing="1" w:line="240" w:lineRule="auto"/>
        <w:rPr>
          <w:rFonts w:ascii="Calibri" w:eastAsia="Times New Roman" w:hAnsi="Calibri" w:cs="Times New Roman"/>
          <w:sz w:val="24"/>
          <w:szCs w:val="24"/>
        </w:rPr>
      </w:pPr>
      <w:r>
        <w:rPr>
          <w:rFonts w:ascii="Calibri" w:eastAsia="Times New Roman" w:hAnsi="Calibri" w:cs="Times New Roman"/>
          <w:sz w:val="24"/>
          <w:szCs w:val="24"/>
        </w:rPr>
        <w:t xml:space="preserve">CWWA supports efforts to protect water quality and quantity by ensuring that solar developments do not result in 1) the clearcutting of forestland, </w:t>
      </w:r>
      <w:r w:rsidRPr="002B4FF0">
        <w:rPr>
          <w:rFonts w:ascii="Calibri" w:eastAsia="Times New Roman" w:hAnsi="Calibri" w:cs="Times New Roman"/>
          <w:sz w:val="24"/>
          <w:szCs w:val="24"/>
        </w:rPr>
        <w:t xml:space="preserve">which is the most desirable watershed land cover for protecting drinking water sources; 2) disturbance of area wetlands, steep slopes, and highly erosive soils; 3) erosion and sedimentation during construction; 4) and potential contamination concerns resulting from servicing and refueling of construction machinery and vehicles and storage of fuel within the watershed. </w:t>
      </w:r>
    </w:p>
    <w:p w14:paraId="04CD5C7A" w14:textId="77777777" w:rsidR="002B4FF0" w:rsidRPr="002B4FF0" w:rsidRDefault="002B4FF0" w:rsidP="002B4FF0">
      <w:pPr>
        <w:spacing w:before="100" w:beforeAutospacing="1" w:after="100" w:afterAutospacing="1" w:line="240" w:lineRule="auto"/>
        <w:rPr>
          <w:rFonts w:ascii="Calibri" w:eastAsia="Times New Roman" w:hAnsi="Calibri" w:cs="Times New Roman"/>
          <w:sz w:val="24"/>
          <w:szCs w:val="24"/>
        </w:rPr>
      </w:pPr>
      <w:r w:rsidRPr="002B4FF0">
        <w:rPr>
          <w:rFonts w:ascii="Calibri" w:eastAsia="Times New Roman" w:hAnsi="Calibri" w:cs="Times New Roman"/>
          <w:sz w:val="24"/>
          <w:szCs w:val="24"/>
        </w:rPr>
        <w:t xml:space="preserve">Thank you for the opportunity to comment.  </w:t>
      </w:r>
    </w:p>
    <w:p w14:paraId="031CDD69" w14:textId="77777777" w:rsidR="002B4FF0" w:rsidRPr="002B4FF0" w:rsidRDefault="002B4FF0" w:rsidP="002B4FF0">
      <w:pPr>
        <w:spacing w:after="0" w:line="240" w:lineRule="auto"/>
        <w:rPr>
          <w:rFonts w:ascii="Calibri" w:eastAsia="Calibri" w:hAnsi="Calibri" w:cs="Times New Roman"/>
          <w:sz w:val="20"/>
          <w:szCs w:val="20"/>
        </w:rPr>
      </w:pPr>
      <w:r w:rsidRPr="002B4FF0">
        <w:rPr>
          <w:rFonts w:ascii="Calibri" w:eastAsia="Times New Roman" w:hAnsi="Calibri" w:cs="Times New Roman"/>
          <w:i/>
          <w:sz w:val="20"/>
          <w:szCs w:val="20"/>
        </w:rPr>
        <w:t xml:space="preserve">The Connecticut Water Works Association, Inc. (CWWA) is an association of private, municipal and regional public water supply utilities serving more than 500,000 customers, or population of about 2½ million people, located throughout Connecticut.  </w:t>
      </w:r>
    </w:p>
    <w:p w14:paraId="030BBD0A" w14:textId="77777777" w:rsidR="002B4FF0" w:rsidRDefault="002B4FF0"/>
    <w:sectPr w:rsidR="002B4FF0" w:rsidSect="00CC560E">
      <w:headerReference w:type="default" r:id="rId4"/>
      <w:footerReference w:type="even" r:id="rId5"/>
      <w:footerReference w:type="default" r:id="rId6"/>
      <w:pgSz w:w="12240" w:h="15840"/>
      <w:pgMar w:top="540" w:right="1800" w:bottom="81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72B07" w14:textId="77777777" w:rsidR="00AB2A96" w:rsidRDefault="00831315" w:rsidP="00AB2A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9AA5AE" w14:textId="77777777" w:rsidR="00AB2A96" w:rsidRDefault="00831315" w:rsidP="00AB2A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A770" w14:textId="77777777" w:rsidR="00AB2A96" w:rsidRDefault="00831315" w:rsidP="00AB2A96">
    <w:pPr>
      <w:pStyle w:val="Footer"/>
      <w:framePr w:wrap="around" w:vAnchor="text" w:hAnchor="margin" w:xAlign="right" w:y="1"/>
      <w:rPr>
        <w:rStyle w:val="PageNumber"/>
      </w:rPr>
    </w:pPr>
  </w:p>
  <w:p w14:paraId="2B3441B0" w14:textId="77777777" w:rsidR="00CC560E" w:rsidRPr="00CC560E" w:rsidRDefault="00831315" w:rsidP="00CC560E">
    <w:pPr>
      <w:jc w:val="center"/>
      <w:rPr>
        <w:rStyle w:val="Strong"/>
        <w:b w:val="0"/>
        <w:sz w:val="20"/>
        <w:szCs w:val="20"/>
      </w:rPr>
    </w:pPr>
    <w:r w:rsidRPr="00CC560E">
      <w:rPr>
        <w:rStyle w:val="Strong"/>
        <w:b w:val="0"/>
        <w:sz w:val="20"/>
        <w:szCs w:val="20"/>
      </w:rPr>
      <w:t xml:space="preserve">1245 </w:t>
    </w:r>
    <w:r w:rsidRPr="00CC560E">
      <w:rPr>
        <w:rStyle w:val="Strong"/>
        <w:b w:val="0"/>
        <w:sz w:val="20"/>
        <w:szCs w:val="20"/>
      </w:rPr>
      <w:t>Farmington Ave.,</w:t>
    </w:r>
    <w:r w:rsidRPr="00CC560E">
      <w:rPr>
        <w:rStyle w:val="Strong"/>
        <w:b w:val="0"/>
        <w:sz w:val="20"/>
        <w:szCs w:val="20"/>
      </w:rPr>
      <w:t xml:space="preserve"> </w:t>
    </w:r>
    <w:r w:rsidRPr="00CC560E">
      <w:rPr>
        <w:rStyle w:val="Strong"/>
        <w:b w:val="0"/>
        <w:sz w:val="20"/>
        <w:szCs w:val="20"/>
      </w:rPr>
      <w:t xml:space="preserve">103 </w:t>
    </w:r>
    <w:r>
      <w:rPr>
        <w:rStyle w:val="Strong"/>
        <w:b w:val="0"/>
        <w:sz w:val="20"/>
        <w:szCs w:val="20"/>
      </w:rPr>
      <w:sym w:font="Wingdings" w:char="F077"/>
    </w:r>
    <w:r>
      <w:rPr>
        <w:rStyle w:val="Strong"/>
        <w:b w:val="0"/>
        <w:sz w:val="20"/>
        <w:szCs w:val="20"/>
      </w:rPr>
      <w:t xml:space="preserve"> </w:t>
    </w:r>
    <w:r w:rsidRPr="00CC560E">
      <w:rPr>
        <w:rStyle w:val="Strong"/>
        <w:b w:val="0"/>
        <w:sz w:val="20"/>
        <w:szCs w:val="20"/>
      </w:rPr>
      <w:t xml:space="preserve">West Hartford, CT 06107 </w:t>
    </w:r>
    <w:r>
      <w:rPr>
        <w:rStyle w:val="Strong"/>
        <w:b w:val="0"/>
        <w:sz w:val="20"/>
        <w:szCs w:val="20"/>
      </w:rPr>
      <w:sym w:font="Wingdings" w:char="F077"/>
    </w:r>
    <w:r>
      <w:rPr>
        <w:rStyle w:val="Strong"/>
        <w:b w:val="0"/>
        <w:sz w:val="20"/>
        <w:szCs w:val="20"/>
      </w:rPr>
      <w:t xml:space="preserve"> </w:t>
    </w:r>
    <w:r w:rsidRPr="00CC560E">
      <w:rPr>
        <w:rStyle w:val="Strong"/>
        <w:b w:val="0"/>
        <w:sz w:val="20"/>
        <w:szCs w:val="20"/>
      </w:rPr>
      <w:t>Tel</w:t>
    </w:r>
    <w:r w:rsidRPr="00CC560E">
      <w:rPr>
        <w:rStyle w:val="Strong"/>
        <w:b w:val="0"/>
        <w:sz w:val="20"/>
        <w:szCs w:val="20"/>
      </w:rPr>
      <w:t>. 860-841-7350</w:t>
    </w:r>
  </w:p>
  <w:p w14:paraId="0EC8DA27" w14:textId="77777777" w:rsidR="00AB2A96" w:rsidRDefault="00831315" w:rsidP="00AB2A96">
    <w:pPr>
      <w:pStyle w:val="Footer"/>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69426" w14:textId="17FA78A2" w:rsidR="004343E7" w:rsidRDefault="002B4FF0">
    <w:pPr>
      <w:pStyle w:val="Header"/>
    </w:pPr>
    <w:r>
      <w:rPr>
        <w:noProof/>
      </w:rPr>
      <w:drawing>
        <wp:inline distT="0" distB="0" distL="0" distR="0" wp14:anchorId="53A50F6A" wp14:editId="4740B206">
          <wp:extent cx="1762125" cy="876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87630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F0"/>
    <w:rsid w:val="002B4FF0"/>
    <w:rsid w:val="00831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095B9"/>
  <w15:chartTrackingRefBased/>
  <w15:docId w15:val="{C471DE45-2819-4F8D-8257-314877355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B4FF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4FF0"/>
  </w:style>
  <w:style w:type="character" w:styleId="Strong">
    <w:name w:val="Strong"/>
    <w:qFormat/>
    <w:rsid w:val="002B4FF0"/>
    <w:rPr>
      <w:b/>
      <w:bCs/>
    </w:rPr>
  </w:style>
  <w:style w:type="character" w:styleId="PageNumber">
    <w:name w:val="page number"/>
    <w:basedOn w:val="DefaultParagraphFont"/>
    <w:rsid w:val="002B4FF0"/>
  </w:style>
  <w:style w:type="paragraph" w:styleId="Header">
    <w:name w:val="header"/>
    <w:basedOn w:val="Normal"/>
    <w:link w:val="HeaderChar"/>
    <w:rsid w:val="002B4FF0"/>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2B4FF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11" Type="http://schemas.openxmlformats.org/officeDocument/2006/relationships/customXml" Target="../customXml/item3.xml"/><Relationship Id="rId5" Type="http://schemas.openxmlformats.org/officeDocument/2006/relationships/footer" Target="footer1.xml"/><Relationship Id="rId10" Type="http://schemas.openxmlformats.org/officeDocument/2006/relationships/customXml" Target="../customXml/item2.xml"/><Relationship Id="rId4" Type="http://schemas.openxmlformats.org/officeDocument/2006/relationships/header" Target="header1.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117A9E1AED7444B63599E99B5021E9" ma:contentTypeVersion="4" ma:contentTypeDescription="Create a new document." ma:contentTypeScope="" ma:versionID="a386f645da6d315012233856802b9def">
  <xsd:schema xmlns:xsd="http://www.w3.org/2001/XMLSchema" xmlns:xs="http://www.w3.org/2001/XMLSchema" xmlns:p="http://schemas.microsoft.com/office/2006/metadata/properties" xmlns:ns2="e386e565-bd57-4b6c-ac65-8e10aff3c547" xmlns:ns3="55401446-f22c-47b7-9cd6-792154a9d279" targetNamespace="http://schemas.microsoft.com/office/2006/metadata/properties" ma:root="true" ma:fieldsID="b402d9f7ba6deaf092a3ca16f5f779db" ns2:_="" ns3:_="">
    <xsd:import namespace="e386e565-bd57-4b6c-ac65-8e10aff3c547"/>
    <xsd:import namespace="55401446-f22c-47b7-9cd6-792154a9d27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6e565-bd57-4b6c-ac65-8e10aff3c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401446-f22c-47b7-9cd6-792154a9d27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0D41AB-176A-4D5C-9380-1156FFD596D9}"/>
</file>

<file path=customXml/itemProps2.xml><?xml version="1.0" encoding="utf-8"?>
<ds:datastoreItem xmlns:ds="http://schemas.openxmlformats.org/officeDocument/2006/customXml" ds:itemID="{22F99A29-BB74-4413-846F-D12A79479D04}"/>
</file>

<file path=customXml/itemProps3.xml><?xml version="1.0" encoding="utf-8"?>
<ds:datastoreItem xmlns:ds="http://schemas.openxmlformats.org/officeDocument/2006/customXml" ds:itemID="{D5EE00F0-7AF9-4C13-8A44-03080AA74921}"/>
</file>

<file path=docProps/app.xml><?xml version="1.0" encoding="utf-8"?>
<Properties xmlns="http://schemas.openxmlformats.org/officeDocument/2006/extended-properties" xmlns:vt="http://schemas.openxmlformats.org/officeDocument/2006/docPropsVTypes">
  <Template>Normal</Template>
  <TotalTime>17</TotalTime>
  <Pages>2</Pages>
  <Words>589</Words>
  <Characters>3361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Gara</dc:creator>
  <cp:keywords/>
  <dc:description/>
  <cp:lastModifiedBy>Elizabeth Gara</cp:lastModifiedBy>
  <cp:revision>1</cp:revision>
  <dcterms:created xsi:type="dcterms:W3CDTF">2021-06-25T18:44:00Z</dcterms:created>
  <dcterms:modified xsi:type="dcterms:W3CDTF">2021-06-25T19:01:00Z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0x0101008C117A9E1AED7444B63599E99B5021E9</vt:lpwstr>
  </property>
</Properties>
</file>